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6" w:rsidRDefault="002E1026" w:rsidP="002E10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 xml:space="preserve">Dat je bilans stanja </w:t>
      </w:r>
      <w:r>
        <w:rPr>
          <w:rFonts w:asciiTheme="minorHAnsi" w:hAnsiTheme="minorHAnsi" w:cstheme="minorHAnsi"/>
          <w:b/>
          <w:lang w:val="sl-SI"/>
        </w:rPr>
        <w:t xml:space="preserve"> »</w:t>
      </w:r>
      <w:r>
        <w:rPr>
          <w:rFonts w:asciiTheme="minorHAnsi" w:hAnsiTheme="minorHAnsi" w:cstheme="minorHAnsi"/>
          <w:b/>
          <w:lang w:val="sl-SI"/>
        </w:rPr>
        <w:t>Barska plovidba</w:t>
      </w:r>
      <w:r>
        <w:rPr>
          <w:rFonts w:asciiTheme="minorHAnsi" w:hAnsiTheme="minorHAnsi" w:cstheme="minorHAnsi"/>
          <w:b/>
          <w:lang w:val="sl-SI"/>
        </w:rPr>
        <w:t xml:space="preserve">« </w:t>
      </w:r>
      <w:r>
        <w:rPr>
          <w:rFonts w:asciiTheme="minorHAnsi" w:hAnsiTheme="minorHAnsi" w:cstheme="minorHAnsi"/>
          <w:b/>
          <w:lang w:val="sl-SI"/>
        </w:rPr>
        <w:t xml:space="preserve">Bar </w:t>
      </w:r>
      <w:r>
        <w:rPr>
          <w:rFonts w:asciiTheme="minorHAnsi" w:hAnsiTheme="minorHAnsi" w:cstheme="minorHAnsi"/>
          <w:b/>
          <w:lang w:val="sl-SI"/>
        </w:rPr>
        <w:t>za 201</w:t>
      </w:r>
      <w:r>
        <w:rPr>
          <w:rFonts w:asciiTheme="minorHAnsi" w:hAnsiTheme="minorHAnsi" w:cstheme="minorHAnsi"/>
          <w:b/>
          <w:lang w:val="sl-SI"/>
        </w:rPr>
        <w:t>7</w:t>
      </w:r>
      <w:r>
        <w:rPr>
          <w:rFonts w:asciiTheme="minorHAnsi" w:hAnsiTheme="minorHAnsi" w:cstheme="minorHAnsi"/>
          <w:b/>
          <w:lang w:val="sl-SI"/>
        </w:rPr>
        <w:t>. godinu. Na bazi podataka iz ovog bilansa za tekuću godinu:</w:t>
      </w:r>
    </w:p>
    <w:p w:rsidR="002E1026" w:rsidRDefault="002E1026" w:rsidP="002E1026">
      <w:pPr>
        <w:spacing w:after="0" w:line="240" w:lineRule="auto"/>
        <w:rPr>
          <w:rFonts w:asciiTheme="minorHAnsi" w:hAnsiTheme="minorHAnsi" w:cstheme="minorHAnsi"/>
          <w:b/>
          <w:lang w:val="sl-SI"/>
        </w:rPr>
      </w:pPr>
    </w:p>
    <w:p w:rsidR="002E1026" w:rsidRDefault="002E1026" w:rsidP="002E1026">
      <w:pPr>
        <w:spacing w:after="0" w:line="240" w:lineRule="auto"/>
        <w:rPr>
          <w:rFonts w:asciiTheme="minorHAnsi" w:hAnsiTheme="minorHAnsi" w:cstheme="minorHAnsi"/>
          <w:lang w:val="sl-SI"/>
        </w:rPr>
      </w:pPr>
    </w:p>
    <w:p w:rsidR="002E1026" w:rsidRDefault="002E1026" w:rsidP="002E1026">
      <w:pPr>
        <w:spacing w:after="0" w:line="240" w:lineRule="auto"/>
        <w:rPr>
          <w:rFonts w:asciiTheme="minorHAnsi" w:hAnsiTheme="minorHAnsi" w:cstheme="minorHAnsi"/>
          <w:lang w:val="sl-SI"/>
        </w:rPr>
      </w:pPr>
    </w:p>
    <w:p w:rsidR="002E1026" w:rsidRDefault="002E1026" w:rsidP="002E1026">
      <w:pPr>
        <w:spacing w:after="0" w:line="240" w:lineRule="auto"/>
        <w:rPr>
          <w:rFonts w:asciiTheme="minorHAnsi" w:hAnsiTheme="minorHAnsi" w:cstheme="minorHAnsi"/>
          <w:lang w:val="sl-SI"/>
        </w:rPr>
      </w:pPr>
    </w:p>
    <w:p w:rsidR="002E1026" w:rsidRDefault="002E1026" w:rsidP="002E1026">
      <w:pPr>
        <w:spacing w:after="0" w:line="240" w:lineRule="auto"/>
        <w:rPr>
          <w:rFonts w:asciiTheme="minorHAnsi" w:hAnsiTheme="minorHAnsi" w:cstheme="minorHAnsi"/>
          <w:lang w:val="sl-SI"/>
        </w:rPr>
      </w:pPr>
      <w:bookmarkStart w:id="0" w:name="_GoBack"/>
      <w:bookmarkEnd w:id="0"/>
    </w:p>
    <w:p w:rsidR="002E1026" w:rsidRDefault="002E1026" w:rsidP="002E1026">
      <w:pPr>
        <w:pStyle w:val="ListParagraph"/>
        <w:numPr>
          <w:ilvl w:val="0"/>
          <w:numId w:val="2"/>
        </w:numPr>
        <w:spacing w:after="0" w:line="240" w:lineRule="auto"/>
        <w:ind w:left="1068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Analizirajte dugoročnu finansijsku ravnotežu preko koeficijenta finansijske stabilnosti  i ocijenite finansijski položaj na bazi finansijske ravnoteže. </w:t>
      </w:r>
    </w:p>
    <w:p w:rsidR="002E1026" w:rsidRDefault="002E1026" w:rsidP="002E1026">
      <w:pPr>
        <w:spacing w:after="0" w:line="240" w:lineRule="auto"/>
        <w:ind w:left="696"/>
        <w:rPr>
          <w:rFonts w:asciiTheme="minorHAnsi" w:hAnsiTheme="minorHAnsi" w:cstheme="minorHAnsi"/>
          <w:lang w:val="sl-SI"/>
        </w:rPr>
      </w:pPr>
    </w:p>
    <w:p w:rsidR="002E1026" w:rsidRDefault="002E1026" w:rsidP="002E1026">
      <w:pPr>
        <w:spacing w:after="0" w:line="240" w:lineRule="auto"/>
        <w:ind w:left="696"/>
        <w:rPr>
          <w:rFonts w:asciiTheme="minorHAnsi" w:hAnsiTheme="minorHAnsi" w:cstheme="minorHAnsi"/>
          <w:lang w:val="sl-SI"/>
        </w:rPr>
      </w:pPr>
    </w:p>
    <w:p w:rsidR="002E1026" w:rsidRDefault="002E1026" w:rsidP="002E1026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Izračunajte pokazatelj opšte likvidnosti, rigorozne likvidnosti, momentalne likvidnosti i intrepretirajte dobijene rezultate. </w:t>
      </w:r>
    </w:p>
    <w:p w:rsidR="002E1026" w:rsidRDefault="002E1026" w:rsidP="002E1026">
      <w:pPr>
        <w:pStyle w:val="ListParagraph"/>
        <w:spacing w:after="0" w:line="240" w:lineRule="auto"/>
        <w:ind w:left="1068"/>
        <w:jc w:val="both"/>
        <w:rPr>
          <w:rFonts w:asciiTheme="minorHAnsi" w:hAnsiTheme="minorHAnsi" w:cstheme="minorHAnsi"/>
          <w:lang w:val="sl-SI"/>
        </w:rPr>
      </w:pPr>
    </w:p>
    <w:p w:rsidR="002E1026" w:rsidRDefault="002E1026" w:rsidP="002E1026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Izračunajte neto obrtni fond, sopstrveni obrtni fond i tuđi obrtni fond.</w:t>
      </w:r>
    </w:p>
    <w:p w:rsidR="002E1026" w:rsidRPr="002E1026" w:rsidRDefault="002E1026" w:rsidP="002E1026">
      <w:pPr>
        <w:pStyle w:val="ListParagraph"/>
        <w:rPr>
          <w:rFonts w:asciiTheme="minorHAnsi" w:hAnsiTheme="minorHAnsi" w:cstheme="minorHAnsi"/>
          <w:lang w:val="sl-SI"/>
        </w:rPr>
      </w:pPr>
    </w:p>
    <w:p w:rsidR="002E1026" w:rsidRDefault="002E1026" w:rsidP="002E1026">
      <w:pPr>
        <w:pStyle w:val="ListParagraph"/>
        <w:spacing w:after="0" w:line="240" w:lineRule="auto"/>
        <w:ind w:left="1068"/>
        <w:jc w:val="both"/>
        <w:rPr>
          <w:rFonts w:asciiTheme="minorHAnsi" w:hAnsiTheme="minorHAnsi" w:cstheme="minorHAnsi"/>
          <w:lang w:val="sl-SI"/>
        </w:rPr>
      </w:pPr>
    </w:p>
    <w:p w:rsidR="002E1026" w:rsidRDefault="002E1026" w:rsidP="002E1026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Izračunati pokazatelje finansijske strukture</w:t>
      </w:r>
    </w:p>
    <w:p w:rsidR="002E1026" w:rsidRDefault="002E1026" w:rsidP="002E1026">
      <w:pPr>
        <w:spacing w:after="0" w:line="240" w:lineRule="auto"/>
        <w:ind w:left="696"/>
        <w:jc w:val="both"/>
        <w:rPr>
          <w:rFonts w:asciiTheme="minorHAnsi" w:hAnsiTheme="minorHAnsi" w:cstheme="minorHAnsi"/>
          <w:lang w:val="sl-SI"/>
        </w:rPr>
      </w:pPr>
    </w:p>
    <w:p w:rsidR="00FE7D1E" w:rsidRDefault="00FE7D1E"/>
    <w:sectPr w:rsidR="00FE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F9D"/>
    <w:multiLevelType w:val="hybridMultilevel"/>
    <w:tmpl w:val="E0D039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D01"/>
    <w:multiLevelType w:val="hybridMultilevel"/>
    <w:tmpl w:val="B412C240"/>
    <w:lvl w:ilvl="0" w:tplc="90A8149A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10"/>
    <w:rsid w:val="002E1026"/>
    <w:rsid w:val="00834E10"/>
    <w:rsid w:val="00C670D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2020-03-24T22:43:00Z</dcterms:created>
  <dcterms:modified xsi:type="dcterms:W3CDTF">2020-03-24T22:45:00Z</dcterms:modified>
</cp:coreProperties>
</file>